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center"/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  <w:t xml:space="preserve">El Seguro de Responsabilidad Civil Patronal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</w:p>
    <w:tbl>
      <w:tblPr/>
      <w:tblGrid>
        <w:gridCol w:w="1791"/>
        <w:gridCol w:w="3927"/>
        <w:gridCol w:w="4114"/>
      </w:tblGrid>
      <w:tr>
        <w:trPr>
          <w:trHeight w:val="917" w:hRule="auto"/>
          <w:jc w:val="left"/>
        </w:trPr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Supuestos </w:t>
            </w:r>
          </w:p>
        </w:tc>
        <w:tc>
          <w:tcPr>
            <w:tcW w:w="3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Contrato de afiliación de Riesgos del Trabajo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(Ley de Riesgos del Trabajo Nº 24.557)</w:t>
            </w: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Póliza de Responsabilidad Civil Patronal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Res. SSN 35.550/11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(Ley de Seguros Nº 17.418)</w:t>
            </w:r>
          </w:p>
        </w:tc>
      </w:tr>
      <w:tr>
        <w:trPr>
          <w:trHeight w:val="1" w:hRule="atLeast"/>
          <w:jc w:val="left"/>
        </w:trPr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Riesgo cubierto</w:t>
            </w:r>
          </w:p>
        </w:tc>
        <w:tc>
          <w:tcPr>
            <w:tcW w:w="3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Accidentes de Trabajo (incluidos los accidentes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in itinere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 y Enfermedades Profesionales.</w:t>
            </w: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La responsabilidad civil del empleador, cuando ésta se encuentre comprometida  en caso de un accidente o enfermedad profesional  sufrida por el trabajador nominado, en exceso de los riesgos amparados por la ley de Riesgos del Trabajo.</w:t>
            </w:r>
          </w:p>
        </w:tc>
      </w:tr>
      <w:tr>
        <w:trPr>
          <w:trHeight w:val="1" w:hRule="atLeast"/>
          <w:jc w:val="left"/>
        </w:trPr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Contrato</w:t>
            </w:r>
          </w:p>
        </w:tc>
        <w:tc>
          <w:tcPr>
            <w:tcW w:w="3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Contrato obligatorio y único.</w:t>
            </w:r>
          </w:p>
          <w:p>
            <w:pPr>
              <w:numPr>
                <w:ilvl w:val="0"/>
                <w:numId w:val="11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Integra el sistema de Seguridad Social.</w:t>
            </w:r>
          </w:p>
          <w:p>
            <w:pPr>
              <w:numPr>
                <w:ilvl w:val="0"/>
                <w:numId w:val="11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Autónomo, no necesita complementariedad previa con otro contrato de seguro. Único requisito, la existencia de una relación laboral.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Contrato de Adhesión, facultativo.</w:t>
            </w:r>
          </w:p>
          <w:p>
            <w:pPr>
              <w:numPr>
                <w:ilvl w:val="0"/>
                <w:numId w:val="13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Seguro Patrimonial.</w:t>
            </w:r>
          </w:p>
          <w:p>
            <w:pPr>
              <w:numPr>
                <w:ilvl w:val="0"/>
                <w:numId w:val="13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Complementario del contrato de Riesgos del Trabajo.</w:t>
            </w:r>
          </w:p>
          <w:p>
            <w:pPr>
              <w:numPr>
                <w:ilvl w:val="0"/>
                <w:numId w:val="13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Cláusulas generales y particulares por cada contrato, las que podrán modificarse previa autorización de la SSN.</w:t>
            </w:r>
          </w:p>
        </w:tc>
      </w:tr>
      <w:tr>
        <w:trPr>
          <w:trHeight w:val="1" w:hRule="atLeast"/>
          <w:jc w:val="left"/>
        </w:trPr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Asegurador</w:t>
            </w:r>
          </w:p>
        </w:tc>
        <w:tc>
          <w:tcPr>
            <w:tcW w:w="3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Aseguradora de Riesgos del Trabajo.</w:t>
            </w:r>
          </w:p>
          <w:p>
            <w:pPr>
              <w:numPr>
                <w:ilvl w:val="0"/>
                <w:numId w:val="16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Sociedades de objeto único.</w:t>
            </w:r>
          </w:p>
          <w:p>
            <w:pPr>
              <w:numPr>
                <w:ilvl w:val="0"/>
                <w:numId w:val="16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Bajo control de la SRT y SSN.</w:t>
            </w: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Compañía de Seguros Patrimoniales.</w:t>
            </w:r>
          </w:p>
          <w:p>
            <w:pPr>
              <w:numPr>
                <w:ilvl w:val="0"/>
                <w:numId w:val="16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Con autorización de la SSN para operar en el ramo de Responsabilidad Civil.</w:t>
            </w:r>
          </w:p>
          <w:p>
            <w:pPr>
              <w:numPr>
                <w:ilvl w:val="0"/>
                <w:numId w:val="16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Bajo control exclusivo de la SSN.</w:t>
            </w:r>
          </w:p>
        </w:tc>
      </w:tr>
      <w:tr>
        <w:trPr>
          <w:trHeight w:val="1" w:hRule="atLeast"/>
          <w:jc w:val="left"/>
        </w:trPr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Suma asegurada</w:t>
            </w:r>
          </w:p>
        </w:tc>
        <w:tc>
          <w:tcPr>
            <w:tcW w:w="3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Fórmula de cálculo en base a indicadores (salario, edad, etc.).</w:t>
            </w:r>
          </w:p>
          <w:p>
            <w:pPr>
              <w:numPr>
                <w:ilvl w:val="0"/>
                <w:numId w:val="19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Sin topes máximos de indemnización.</w:t>
            </w:r>
          </w:p>
          <w:p>
            <w:pPr>
              <w:numPr>
                <w:ilvl w:val="0"/>
                <w:numId w:val="19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Con un piso mínimo de $180.000 por porcentaje de incapacidad para el cálculo de las indemnizaciones definitivas.</w:t>
            </w: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Entre un mínimo de $250.000 y un máximo de $1.000.000 por trabajador.</w:t>
            </w:r>
          </w:p>
          <w:p>
            <w:pPr>
              <w:numPr>
                <w:ilvl w:val="0"/>
                <w:numId w:val="19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Con franquicia mínima del 5% en cada siniestro de la indemnización. Con un mínimo de 1% y un máximo de 5% de la suma asegurada.</w:t>
            </w:r>
          </w:p>
        </w:tc>
      </w:tr>
      <w:tr>
        <w:trPr>
          <w:trHeight w:val="1" w:hRule="atLeast"/>
          <w:jc w:val="left"/>
        </w:trPr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Rescisión del contrato</w:t>
            </w:r>
          </w:p>
        </w:tc>
        <w:tc>
          <w:tcPr>
            <w:tcW w:w="3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Se establecen causales expresas para la rescisión unilateral de los contratos. </w:t>
            </w:r>
          </w:p>
          <w:p>
            <w:pPr>
              <w:numPr>
                <w:ilvl w:val="0"/>
                <w:numId w:val="22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Por parte del asegurado: traspaso, ingreso al autoseguro, cese de actividad y ausencia de trabajadores.</w:t>
            </w:r>
          </w:p>
          <w:p>
            <w:pPr>
              <w:numPr>
                <w:ilvl w:val="0"/>
                <w:numId w:val="22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Por parte de aseguradora:</w:t>
            </w: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Falta de pago, con notificación previa.</w:t>
            </w: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El contrato podrá ser rescindido por ambas partes con o sin causa.</w:t>
            </w:r>
          </w:p>
          <w:p>
            <w:pPr>
              <w:numPr>
                <w:ilvl w:val="0"/>
                <w:numId w:val="22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Cuando la voluntad de rescindir sea por parte del asegurador, este deberá notificar al asegurado con 15 días de anticipación.</w:t>
            </w:r>
          </w:p>
          <w:p>
            <w:pPr>
              <w:numPr>
                <w:ilvl w:val="0"/>
                <w:numId w:val="22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Automática ante falta de pago.</w:t>
            </w:r>
          </w:p>
        </w:tc>
      </w:tr>
      <w:tr>
        <w:trPr>
          <w:trHeight w:val="1" w:hRule="atLeast"/>
          <w:jc w:val="left"/>
        </w:trPr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Suspensión de garantía</w:t>
            </w:r>
          </w:p>
        </w:tc>
        <w:tc>
          <w:tcPr>
            <w:tcW w:w="3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 es de aplicación la figura de suspensión de garantía.</w:t>
            </w: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Previo a la rescisión por falta de pago, el asegurador puede aplicar la figura de la suspensión de garantía.</w:t>
            </w:r>
          </w:p>
          <w:p>
            <w:pPr>
              <w:numPr>
                <w:ilvl w:val="0"/>
                <w:numId w:val="27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Luego de regularizada la deuda se rehabilita el contrato.</w:t>
            </w:r>
          </w:p>
        </w:tc>
      </w:tr>
      <w:tr>
        <w:trPr>
          <w:trHeight w:val="1" w:hRule="atLeast"/>
          <w:jc w:val="left"/>
        </w:trPr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Reticencia</w:t>
            </w:r>
          </w:p>
        </w:tc>
        <w:tc>
          <w:tcPr>
            <w:tcW w:w="3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 es de aplicación la figura de la reticencia.</w:t>
            </w:r>
          </w:p>
          <w:p>
            <w:pPr>
              <w:numPr>
                <w:ilvl w:val="0"/>
                <w:numId w:val="30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La información se actualiza y continúa vigente la cobertura.</w:t>
            </w: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Toda declaración falsa o reticencia de circunstancias conocidas por el asegurado que a juicio de peritos hubiese impedido el contrato o modificado sus condiciones, producen la nulidad del contrato.</w:t>
            </w:r>
          </w:p>
        </w:tc>
      </w:tr>
      <w:tr>
        <w:trPr>
          <w:trHeight w:val="1" w:hRule="atLeast"/>
          <w:jc w:val="left"/>
        </w:trPr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Agravación del riesgo</w:t>
            </w:r>
          </w:p>
        </w:tc>
        <w:tc>
          <w:tcPr>
            <w:tcW w:w="3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Si se produce un incremento del riesgo, este debe ser notificado y continúa vigente la cobertura.</w:t>
            </w: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La agravación del riesgo asumido no declarado puede producir la rescisión del contrato.</w:t>
            </w:r>
          </w:p>
        </w:tc>
      </w:tr>
      <w:tr>
        <w:trPr>
          <w:trHeight w:val="1" w:hRule="atLeast"/>
          <w:jc w:val="left"/>
        </w:trPr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Defensa civil en juicio </w:t>
            </w:r>
          </w:p>
        </w:tc>
        <w:tc>
          <w:tcPr>
            <w:tcW w:w="3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 se encuentra contemplada la posibilidad de la defensa en juicio ni la asunción de honorarios, gastos y costas por parte del asegurador.</w:t>
            </w: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"/>
              </w:numPr>
              <w:tabs>
                <w:tab w:val="left" w:pos="360" w:leader="none"/>
              </w:tabs>
              <w:spacing w:before="0" w:after="0" w:line="360"/>
              <w:ind w:right="0" w:left="36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El asegurador podrá asumir la defensa civil del asegurado en juicio y garantizará indemnidad en la medida del seguro, soportando costas y gastos en defensa en juicio hasta el 30% de la indemnización a cargo de la póliza, o al 30% de la suma asegurada, el importe que sea menor.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Lic. Mónica Regner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Jefa de Operaciones de RC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QBE CÍA. ARGENTINA DE SEGUROS S.A.</w:t>
        <w:br/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i/>
            <w:color w:val="0070C0"/>
            <w:spacing w:val="0"/>
            <w:position w:val="0"/>
            <w:sz w:val="24"/>
            <w:u w:val="single"/>
            <w:shd w:fill="auto" w:val="clear"/>
          </w:rPr>
          <w:t xml:space="preserve">monica.regner@qbe.com.ar</w:t>
        </w:r>
      </w:hyperlink>
      <w:r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4"/>
          <w:shd w:fill="auto" w:val="clear"/>
        </w:rPr>
        <w:t xml:space="preserve"> 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8">
    <w:abstractNumId w:val="54"/>
  </w:num>
  <w:num w:numId="11">
    <w:abstractNumId w:val="48"/>
  </w:num>
  <w:num w:numId="13">
    <w:abstractNumId w:val="42"/>
  </w:num>
  <w:num w:numId="16">
    <w:abstractNumId w:val="36"/>
  </w:num>
  <w:num w:numId="19">
    <w:abstractNumId w:val="30"/>
  </w:num>
  <w:num w:numId="22">
    <w:abstractNumId w:val="24"/>
  </w:num>
  <w:num w:numId="27">
    <w:abstractNumId w:val="18"/>
  </w:num>
  <w:num w:numId="30">
    <w:abstractNumId w:val="12"/>
  </w:num>
  <w:num w:numId="33">
    <w:abstractNumId w:val="6"/>
  </w:num>
  <w:num w:numId="3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monica.regner@qbe.com.ar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